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500" w:type="pct"/>
        <w:jc w:val="center"/>
        <w:tblCellMar>
          <w:left w:w="0" w:type="dxa"/>
          <w:right w:w="0" w:type="dxa"/>
        </w:tblCellMar>
        <w:tblLook w:val="04A0"/>
      </w:tblPr>
      <w:tblGrid>
        <w:gridCol w:w="699"/>
        <w:gridCol w:w="3895"/>
        <w:gridCol w:w="699"/>
        <w:gridCol w:w="2197"/>
      </w:tblGrid>
      <w:tr w:rsidR="00EF599E" w:rsidRPr="00EF599E" w:rsidTr="00EF599E">
        <w:trPr>
          <w:trHeight w:val="525"/>
          <w:jc w:val="center"/>
        </w:trPr>
        <w:tc>
          <w:tcPr>
            <w:tcW w:w="750" w:type="pct"/>
            <w:tcBorders>
              <w:top w:val="single" w:sz="6" w:space="0" w:color="DDDDDD"/>
              <w:left w:val="single" w:sz="6" w:space="0" w:color="DDDDDD"/>
              <w:bottom w:val="single" w:sz="6" w:space="0" w:color="DDDDDD"/>
              <w:right w:val="single" w:sz="6" w:space="0" w:color="DDDDDD"/>
            </w:tcBorders>
            <w:shd w:val="clear" w:color="auto" w:fill="FCFBFB"/>
            <w:vAlign w:val="center"/>
            <w:hideMark/>
          </w:tcPr>
          <w:p w:rsidR="00EF599E" w:rsidRPr="00EF599E" w:rsidRDefault="00EF599E" w:rsidP="00EF599E">
            <w:pPr>
              <w:widowControl/>
              <w:jc w:val="center"/>
              <w:rPr>
                <w:rFonts w:ascii="微软雅黑" w:eastAsia="微软雅黑" w:hAnsi="微软雅黑" w:cs="宋体"/>
                <w:b/>
                <w:bCs/>
                <w:color w:val="333333"/>
                <w:kern w:val="0"/>
                <w:sz w:val="20"/>
                <w:szCs w:val="20"/>
              </w:rPr>
            </w:pPr>
            <w:r w:rsidRPr="00EF599E">
              <w:rPr>
                <w:rFonts w:ascii="微软雅黑" w:eastAsia="微软雅黑" w:hAnsi="微软雅黑" w:cs="宋体" w:hint="eastAsia"/>
                <w:b/>
                <w:bCs/>
                <w:color w:val="333333"/>
                <w:kern w:val="0"/>
                <w:sz w:val="20"/>
                <w:szCs w:val="20"/>
              </w:rPr>
              <w:t>索引号:</w:t>
            </w:r>
          </w:p>
        </w:tc>
        <w:tc>
          <w:tcPr>
            <w:tcW w:w="1750" w:type="pct"/>
            <w:tcBorders>
              <w:top w:val="single" w:sz="6" w:space="0" w:color="DDDDDD"/>
              <w:left w:val="single" w:sz="6" w:space="0" w:color="DDDDDD"/>
              <w:bottom w:val="single" w:sz="6" w:space="0" w:color="DDDDDD"/>
              <w:right w:val="single" w:sz="6" w:space="0" w:color="DDDDDD"/>
            </w:tcBorders>
            <w:shd w:val="clear" w:color="auto" w:fill="FCFBFB"/>
            <w:vAlign w:val="center"/>
            <w:hideMark/>
          </w:tcPr>
          <w:p w:rsidR="00EF599E" w:rsidRPr="00EF599E" w:rsidRDefault="00EF599E" w:rsidP="00EF599E">
            <w:pPr>
              <w:widowControl/>
              <w:jc w:val="center"/>
              <w:rPr>
                <w:rFonts w:ascii="微软雅黑" w:eastAsia="微软雅黑" w:hAnsi="微软雅黑" w:cs="宋体"/>
                <w:color w:val="333333"/>
                <w:kern w:val="0"/>
                <w:sz w:val="23"/>
                <w:szCs w:val="23"/>
              </w:rPr>
            </w:pPr>
            <w:r w:rsidRPr="00EF599E">
              <w:rPr>
                <w:rFonts w:ascii="微软雅黑" w:eastAsia="微软雅黑" w:hAnsi="微软雅黑" w:cs="宋体" w:hint="eastAsia"/>
                <w:color w:val="333333"/>
                <w:kern w:val="0"/>
                <w:sz w:val="23"/>
                <w:szCs w:val="23"/>
              </w:rPr>
              <w:t>11370000004502323D/2024-00064</w:t>
            </w:r>
          </w:p>
        </w:tc>
        <w:tc>
          <w:tcPr>
            <w:tcW w:w="750" w:type="pct"/>
            <w:tcBorders>
              <w:top w:val="single" w:sz="6" w:space="0" w:color="DDDDDD"/>
              <w:left w:val="single" w:sz="6" w:space="0" w:color="DDDDDD"/>
              <w:bottom w:val="single" w:sz="6" w:space="0" w:color="DDDDDD"/>
              <w:right w:val="single" w:sz="6" w:space="0" w:color="DDDDDD"/>
            </w:tcBorders>
            <w:shd w:val="clear" w:color="auto" w:fill="FCFBFB"/>
            <w:vAlign w:val="center"/>
            <w:hideMark/>
          </w:tcPr>
          <w:p w:rsidR="00EF599E" w:rsidRPr="00EF599E" w:rsidRDefault="00EF599E" w:rsidP="00EF599E">
            <w:pPr>
              <w:widowControl/>
              <w:jc w:val="center"/>
              <w:rPr>
                <w:rFonts w:ascii="微软雅黑" w:eastAsia="微软雅黑" w:hAnsi="微软雅黑" w:cs="宋体"/>
                <w:b/>
                <w:bCs/>
                <w:color w:val="333333"/>
                <w:kern w:val="0"/>
                <w:sz w:val="20"/>
                <w:szCs w:val="20"/>
              </w:rPr>
            </w:pPr>
            <w:r w:rsidRPr="00EF599E">
              <w:rPr>
                <w:rFonts w:ascii="微软雅黑" w:eastAsia="微软雅黑" w:hAnsi="微软雅黑" w:cs="宋体" w:hint="eastAsia"/>
                <w:b/>
                <w:bCs/>
                <w:color w:val="333333"/>
                <w:kern w:val="0"/>
                <w:sz w:val="20"/>
                <w:szCs w:val="20"/>
              </w:rPr>
              <w:t>发布日期:</w:t>
            </w:r>
          </w:p>
        </w:tc>
        <w:tc>
          <w:tcPr>
            <w:tcW w:w="1750" w:type="pct"/>
            <w:tcBorders>
              <w:top w:val="single" w:sz="6" w:space="0" w:color="DDDDDD"/>
              <w:left w:val="single" w:sz="6" w:space="0" w:color="DDDDDD"/>
              <w:bottom w:val="single" w:sz="6" w:space="0" w:color="DDDDDD"/>
              <w:right w:val="single" w:sz="6" w:space="0" w:color="DDDDDD"/>
            </w:tcBorders>
            <w:shd w:val="clear" w:color="auto" w:fill="FCFBFB"/>
            <w:vAlign w:val="center"/>
            <w:hideMark/>
          </w:tcPr>
          <w:p w:rsidR="00EF599E" w:rsidRPr="00EF599E" w:rsidRDefault="00EF599E" w:rsidP="00EF599E">
            <w:pPr>
              <w:widowControl/>
              <w:jc w:val="center"/>
              <w:rPr>
                <w:rFonts w:ascii="微软雅黑" w:eastAsia="微软雅黑" w:hAnsi="微软雅黑" w:cs="宋体"/>
                <w:color w:val="333333"/>
                <w:kern w:val="0"/>
                <w:sz w:val="23"/>
                <w:szCs w:val="23"/>
              </w:rPr>
            </w:pPr>
            <w:r w:rsidRPr="00EF599E">
              <w:rPr>
                <w:rFonts w:ascii="微软雅黑" w:eastAsia="微软雅黑" w:hAnsi="微软雅黑" w:cs="宋体" w:hint="eastAsia"/>
                <w:color w:val="333333"/>
                <w:kern w:val="0"/>
                <w:sz w:val="23"/>
                <w:szCs w:val="23"/>
              </w:rPr>
              <w:t>2024-01-20</w:t>
            </w:r>
          </w:p>
        </w:tc>
      </w:tr>
      <w:tr w:rsidR="00EF599E" w:rsidRPr="00EF599E" w:rsidTr="00EF599E">
        <w:trPr>
          <w:trHeight w:val="525"/>
          <w:jc w:val="center"/>
        </w:trPr>
        <w:tc>
          <w:tcPr>
            <w:tcW w:w="750" w:type="pct"/>
            <w:tcBorders>
              <w:top w:val="single" w:sz="6" w:space="0" w:color="DDDDDD"/>
              <w:left w:val="single" w:sz="6" w:space="0" w:color="DDDDDD"/>
              <w:bottom w:val="single" w:sz="6" w:space="0" w:color="DDDDDD"/>
              <w:right w:val="single" w:sz="6" w:space="0" w:color="DDDDDD"/>
            </w:tcBorders>
            <w:vAlign w:val="center"/>
            <w:hideMark/>
          </w:tcPr>
          <w:p w:rsidR="00EF599E" w:rsidRPr="00EF599E" w:rsidRDefault="00EF599E" w:rsidP="00EF599E">
            <w:pPr>
              <w:widowControl/>
              <w:jc w:val="center"/>
              <w:rPr>
                <w:rFonts w:ascii="微软雅黑" w:eastAsia="微软雅黑" w:hAnsi="微软雅黑" w:cs="宋体"/>
                <w:b/>
                <w:bCs/>
                <w:color w:val="333333"/>
                <w:kern w:val="0"/>
                <w:sz w:val="20"/>
                <w:szCs w:val="20"/>
              </w:rPr>
            </w:pPr>
            <w:r w:rsidRPr="00EF599E">
              <w:rPr>
                <w:rFonts w:ascii="微软雅黑" w:eastAsia="微软雅黑" w:hAnsi="微软雅黑" w:cs="宋体" w:hint="eastAsia"/>
                <w:b/>
                <w:bCs/>
                <w:color w:val="333333"/>
                <w:kern w:val="0"/>
                <w:sz w:val="20"/>
                <w:szCs w:val="20"/>
              </w:rPr>
              <w:t>发布机构:</w:t>
            </w:r>
          </w:p>
        </w:tc>
        <w:tc>
          <w:tcPr>
            <w:tcW w:w="1750" w:type="pct"/>
            <w:tcBorders>
              <w:top w:val="single" w:sz="6" w:space="0" w:color="DDDDDD"/>
              <w:left w:val="single" w:sz="6" w:space="0" w:color="DDDDDD"/>
              <w:bottom w:val="single" w:sz="6" w:space="0" w:color="DDDDDD"/>
              <w:right w:val="single" w:sz="6" w:space="0" w:color="DDDDDD"/>
            </w:tcBorders>
            <w:vAlign w:val="center"/>
            <w:hideMark/>
          </w:tcPr>
          <w:p w:rsidR="00EF599E" w:rsidRPr="00EF599E" w:rsidRDefault="00EF599E" w:rsidP="00EF599E">
            <w:pPr>
              <w:widowControl/>
              <w:jc w:val="center"/>
              <w:rPr>
                <w:rFonts w:ascii="微软雅黑" w:eastAsia="微软雅黑" w:hAnsi="微软雅黑" w:cs="宋体"/>
                <w:color w:val="333333"/>
                <w:kern w:val="0"/>
                <w:sz w:val="23"/>
                <w:szCs w:val="23"/>
              </w:rPr>
            </w:pPr>
            <w:r w:rsidRPr="00EF599E">
              <w:rPr>
                <w:rFonts w:ascii="微软雅黑" w:eastAsia="微软雅黑" w:hAnsi="微软雅黑" w:cs="宋体" w:hint="eastAsia"/>
                <w:color w:val="333333"/>
                <w:kern w:val="0"/>
                <w:sz w:val="23"/>
                <w:szCs w:val="23"/>
              </w:rPr>
              <w:t>山东省教育厅</w:t>
            </w:r>
          </w:p>
        </w:tc>
        <w:tc>
          <w:tcPr>
            <w:tcW w:w="750" w:type="pct"/>
            <w:tcBorders>
              <w:top w:val="single" w:sz="6" w:space="0" w:color="DDDDDD"/>
              <w:left w:val="single" w:sz="6" w:space="0" w:color="DDDDDD"/>
              <w:bottom w:val="single" w:sz="6" w:space="0" w:color="DDDDDD"/>
              <w:right w:val="single" w:sz="6" w:space="0" w:color="DDDDDD"/>
            </w:tcBorders>
            <w:vAlign w:val="center"/>
            <w:hideMark/>
          </w:tcPr>
          <w:p w:rsidR="00EF599E" w:rsidRPr="00EF599E" w:rsidRDefault="00EF599E" w:rsidP="00EF599E">
            <w:pPr>
              <w:widowControl/>
              <w:jc w:val="center"/>
              <w:rPr>
                <w:rFonts w:ascii="微软雅黑" w:eastAsia="微软雅黑" w:hAnsi="微软雅黑" w:cs="宋体"/>
                <w:b/>
                <w:bCs/>
                <w:color w:val="333333"/>
                <w:kern w:val="0"/>
                <w:sz w:val="20"/>
                <w:szCs w:val="20"/>
              </w:rPr>
            </w:pPr>
            <w:r w:rsidRPr="00EF599E">
              <w:rPr>
                <w:rFonts w:ascii="微软雅黑" w:eastAsia="微软雅黑" w:hAnsi="微软雅黑" w:cs="宋体" w:hint="eastAsia"/>
                <w:b/>
                <w:bCs/>
                <w:color w:val="333333"/>
                <w:kern w:val="0"/>
                <w:sz w:val="20"/>
                <w:szCs w:val="20"/>
              </w:rPr>
              <w:t>组配分类:</w:t>
            </w:r>
          </w:p>
        </w:tc>
        <w:tc>
          <w:tcPr>
            <w:tcW w:w="1750" w:type="pct"/>
            <w:tcBorders>
              <w:top w:val="single" w:sz="6" w:space="0" w:color="DDDDDD"/>
              <w:left w:val="single" w:sz="6" w:space="0" w:color="DDDDDD"/>
              <w:bottom w:val="single" w:sz="6" w:space="0" w:color="DDDDDD"/>
              <w:right w:val="single" w:sz="6" w:space="0" w:color="DDDDDD"/>
            </w:tcBorders>
            <w:vAlign w:val="center"/>
            <w:hideMark/>
          </w:tcPr>
          <w:p w:rsidR="00EF599E" w:rsidRPr="00EF599E" w:rsidRDefault="00EF599E" w:rsidP="00EF599E">
            <w:pPr>
              <w:widowControl/>
              <w:jc w:val="center"/>
              <w:rPr>
                <w:rFonts w:ascii="微软雅黑" w:eastAsia="微软雅黑" w:hAnsi="微软雅黑" w:cs="宋体"/>
                <w:color w:val="333333"/>
                <w:kern w:val="0"/>
                <w:sz w:val="23"/>
                <w:szCs w:val="23"/>
              </w:rPr>
            </w:pPr>
            <w:r w:rsidRPr="00EF599E">
              <w:rPr>
                <w:rFonts w:ascii="微软雅黑" w:eastAsia="微软雅黑" w:hAnsi="微软雅黑" w:cs="宋体" w:hint="eastAsia"/>
                <w:color w:val="333333"/>
                <w:kern w:val="0"/>
                <w:sz w:val="23"/>
                <w:szCs w:val="23"/>
              </w:rPr>
              <w:t>政策解读</w:t>
            </w:r>
          </w:p>
        </w:tc>
      </w:tr>
    </w:tbl>
    <w:p w:rsidR="00EF599E" w:rsidRPr="00EF599E" w:rsidRDefault="00EF599E" w:rsidP="00EF599E">
      <w:pPr>
        <w:widowControl/>
        <w:spacing w:line="600" w:lineRule="atLeast"/>
        <w:jc w:val="center"/>
        <w:rPr>
          <w:rFonts w:ascii="微软雅黑" w:eastAsia="微软雅黑" w:hAnsi="微软雅黑" w:cs="宋体"/>
          <w:b/>
          <w:bCs/>
          <w:color w:val="3D3D3D"/>
          <w:kern w:val="0"/>
          <w:sz w:val="33"/>
          <w:szCs w:val="33"/>
        </w:rPr>
      </w:pPr>
      <w:r w:rsidRPr="00EF599E">
        <w:rPr>
          <w:rFonts w:ascii="微软雅黑" w:eastAsia="微软雅黑" w:hAnsi="微软雅黑" w:cs="宋体" w:hint="eastAsia"/>
          <w:b/>
          <w:bCs/>
          <w:color w:val="3D3D3D"/>
          <w:kern w:val="0"/>
          <w:sz w:val="33"/>
          <w:szCs w:val="33"/>
        </w:rPr>
        <w:t>《山东省职业教育条例》解读</w:t>
      </w:r>
    </w:p>
    <w:p w:rsidR="00EF599E" w:rsidRPr="00EF599E" w:rsidRDefault="00EF599E" w:rsidP="00EF599E">
      <w:pPr>
        <w:widowControl/>
        <w:jc w:val="center"/>
        <w:rPr>
          <w:rFonts w:ascii="微软雅黑" w:eastAsia="微软雅黑" w:hAnsi="微软雅黑" w:cs="宋体"/>
          <w:kern w:val="0"/>
          <w:sz w:val="23"/>
          <w:szCs w:val="23"/>
        </w:rPr>
      </w:pPr>
      <w:r w:rsidRPr="00EF599E">
        <w:rPr>
          <w:rFonts w:ascii="微软雅黑" w:eastAsia="微软雅黑" w:hAnsi="微软雅黑" w:cs="宋体" w:hint="eastAsia"/>
          <w:kern w:val="0"/>
          <w:sz w:val="23"/>
          <w:szCs w:val="23"/>
        </w:rPr>
        <w:t>发布日期： 2024-01-20 16:59 浏览次数：</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1月20日，山东省第十四届人大常委会第七次会议表决通过了修订后的《山东省职业教育条例》（以下简称《条例》），自2024年5月1日起施行。</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b/>
          <w:bCs/>
          <w:color w:val="333333"/>
          <w:kern w:val="0"/>
          <w:sz w:val="24"/>
          <w:szCs w:val="24"/>
        </w:rPr>
        <w:t>一、修订背景</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习近平总书记指出，在全面建设社会主义现代化国家新征程中，职业教育前途广阔、大有可为。党中央、国务院高度重视职业教育，先后出台一系列政策举措，要求把职业教育摆在更加突出的位置，培养更多高素质技术技能人才、能工巧匠、大国工匠。</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近年来，按照党中央、国务院决策部署，在教育部的科学指导和省委、省政府的坚强领导下，我省职业教育取得长足发展。山东成为全国首个部省共建的国家职业教育创新发展高地和首个部省共建省域现代职业教育体系新模式试点省份，两次入选国务院督查激励的全国职业教育改革成效明显省份，为推动全国职业教育大改革大发展贡献了山东力量，一系列实践创新、制度创新、理论创新的重要成果为《职业教育法》的修订贡献了山东智慧。</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随着我省深化新旧动能转换和绿色低碳高质量发展先行区建设不断推进，产业升级和经济结构调整不断加快，各行各业对高素质技术技能人才的需求越来越迫切、越来越强烈，职业教育的重要地位和作用越来越凸显。但是，与建设现代化强省要求相比，与人民群众对职业教育的需求期盼相比，我省职业教育还面临一些亟待解决的困难和问题，需要从立法的角度，进一步强化加快发展职业教育的鲜明导向，推动建设教育强省、人力资源强省和技能型社会。</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原《山东省职业教育条例》于2000年颁布实施，对推动我省职业教育发展、提高劳动者素质、服务经济社会发展发挥了重要作用，但与新的发展要求相比，需要加快修订。2022年5月，新修订的《职业教育法》正式施行，为我省地方立法提供了重要遵循。面对新形势新要求，迫切需要立足新发展阶段，基于新发展理念对我省职业教育条例进行全面修订，为更好推动职业教育高质量发展和培养更多高技能人才提供坚实法治保障。</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b/>
          <w:bCs/>
          <w:color w:val="333333"/>
          <w:kern w:val="0"/>
          <w:sz w:val="24"/>
          <w:szCs w:val="24"/>
        </w:rPr>
        <w:t>二、主要特点</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《条例》创造性落实上级要求，充分体现山东特色，主要有以下特点：</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lastRenderedPageBreak/>
        <w:t>（一）吸收最新政策。深入贯彻落实习近平总书记关于职业教育的重要指示批示要求，充分吸收党中央、国务院和省委、省政府关于职业教育的最新政策精神，凸显方向性、先进性、前瞻性、时代性。</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（二）反映实践成果。把党的十八大以来我省职业教育行之有效、管当前、利长远的改革创新举措进行了全面总结和深入论证，把实践成果上升为法律规范，为进一步深化职业教育改革提供法律保障。</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（三）突出问题导向。聚焦发挥企业重要办学主体作用、产教融合校企合作、学校办学自主权落实、“双师型”教师队伍建设、职业教育发展保障等重点难点，着力解决制约职业教育改革发展的突出矛盾和问题。</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四）回应各界关切。准确把握绿色低碳高质量发展趋势，科学分析动能转换产业升级形势，培养适应产业升级需要、符合新质生产力要求的高技能人才，努力让职业学校学生就业有保障、升学有通道，更好地满足产业、企业、学生、家长等各界所需。</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（五）注重务实管用。充分考虑针对性、精准性、适用性和可操作性，细化要求、明确责任，为《条例》的有效施行打好基础。</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（六）创新体例结构。以山东实际为基本依据，与《职业教育法》和原《条例》相比，结构和内容都有重大调整和较大创新，充分体现我省首创成果。</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b/>
          <w:bCs/>
          <w:color w:val="333333"/>
          <w:kern w:val="0"/>
          <w:sz w:val="24"/>
          <w:szCs w:val="24"/>
        </w:rPr>
        <w:t>三、主要内容</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《条例》共6章、59条，主要包括以下内容：</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一）落实立德树人根本任务。坚持中国共产党的领导，坚持社会主义办学方向，贯彻国家教育方针，弘扬社会主义核心价值观，对受教育者进行思想政治教育和职业道德教育，培育劳模精神、劳动精神、工匠精神，传授科学文化与专业知识，培养技术技能，完善德智体美劳全面培养的教育体系，建立健全全员全过程全方位育人机制，促进学生全面发展。</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二）构建多元办学格局。建立健全政府统筹、行业企业积极举办、社会力量深度参与的职业教育多元办学格局。有关行业主管部门、群团组织、行业组织、企业事业单位等应当依法履行实施职业教育的义务，参与、支持或者开展职业教育。充分发挥企业重要办学主体作用，鼓励支持企业和其他社会力量利用资本、技术、知识、设施、设备、场地和管理等要素，通过独资、股份制、混合所有制等形式举办或者参与举办职业教育。国有企业、行业龙头企业等应当发挥示范引领作用，举办或者参与举办高质量职业教育。</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三）引导服务经济社会发展。支持面向产业聚集区域和重点行业领域建设区域产教联合体、行业产教融合共同体等，推动企业、学校、科研机构等主体共同开展人才培养、科研攻关和技术研发服务。支持学校、企业和其他社会组织建设学校实践中心、企业实践中心、公共实践中心等开放型产教融合平台，推动实践教学、社会培训、创新创业、技术研发与企业生产融通融合。充分利用大数据、人工智能、区块链等新兴技术，优化专业课程内容，系统化改造课程体系，增强职业教育的适应性。</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lastRenderedPageBreak/>
        <w:t>（四）支持职业教育面向人人。推动不同层次职业教育纵向贯通，系统构建中等职业教育、专科职业教育、本科职业教育、专业学位研究生教育相衔接的人才培养体系。推动不同类型教育横向融通，鼓励普通学校开展职业启蒙、职业认知、职业体验教育，推动职业学校与普通学校课程互选、资源共享、学习成果互认。高等职业学校、应用型普通本科高等学校以及其他实施职业教育的普通高等学校应当招收职业学校毕业生，鼓励支持招收具有工作经历的职业学校毕业生，畅通一线劳动者继续学习深造的路径。加强职业培训工作，建立健全面向全体劳动者的终身职业技能培训制度。</w:t>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五）强化职业教育高质量发展的支持保障。建立与职业教育办学规模、培养成本、办学质量等相适应的财政投入制度。落实职业学校在专业设置、校企合作、人员招聘、岗位聘用、绩效工资分配等方面的自主权。完善技术技能人才激励制度，拓宽就业创业渠道，创造公平就业发展环境，职业学校毕业生在落户、参加公务员招录和企业事业单位招聘、职称评聘、职务职级晋升等方面，与同层次普通学校毕业生享有平等机会。</w:t>
      </w:r>
    </w:p>
    <w:p w:rsidR="00EF599E" w:rsidRPr="00EF599E" w:rsidRDefault="00EF599E" w:rsidP="00EF599E">
      <w:pPr>
        <w:widowControl/>
        <w:spacing w:line="360" w:lineRule="atLeast"/>
        <w:jc w:val="left"/>
        <w:rPr>
          <w:rFonts w:ascii="微软雅黑" w:eastAsia="微软雅黑" w:hAnsi="微软雅黑" w:cs="宋体"/>
          <w:color w:val="333333"/>
          <w:kern w:val="0"/>
          <w:sz w:val="24"/>
          <w:szCs w:val="24"/>
        </w:rPr>
      </w:pP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br/>
      </w:r>
    </w:p>
    <w:p w:rsidR="00EF599E" w:rsidRPr="00EF599E" w:rsidRDefault="00EF599E" w:rsidP="00EF599E">
      <w:pPr>
        <w:widowControl/>
        <w:spacing w:line="360" w:lineRule="atLeast"/>
        <w:ind w:firstLine="480"/>
        <w:jc w:val="left"/>
        <w:rPr>
          <w:rFonts w:ascii="宋体" w:eastAsia="宋体" w:hAnsi="宋体" w:cs="宋体"/>
          <w:color w:val="333333"/>
          <w:kern w:val="0"/>
          <w:sz w:val="24"/>
          <w:szCs w:val="24"/>
        </w:rPr>
      </w:pPr>
      <w:r w:rsidRPr="00EF599E">
        <w:rPr>
          <w:rFonts w:ascii="宋体" w:eastAsia="宋体" w:hAnsi="宋体" w:cs="宋体" w:hint="eastAsia"/>
          <w:color w:val="333333"/>
          <w:kern w:val="0"/>
          <w:sz w:val="24"/>
          <w:szCs w:val="24"/>
        </w:rPr>
        <w:t>附件：一图读懂新修订的《山东省职业教育条例》十大亮点</w:t>
      </w:r>
    </w:p>
    <w:p w:rsidR="00EF599E" w:rsidRPr="00EF599E" w:rsidRDefault="00EF599E" w:rsidP="00EF599E">
      <w:pPr>
        <w:widowControl/>
        <w:spacing w:line="360" w:lineRule="atLeast"/>
        <w:jc w:val="center"/>
        <w:rPr>
          <w:rFonts w:ascii="宋体" w:eastAsia="宋体" w:hAnsi="宋体" w:cs="宋体"/>
          <w:color w:val="333333"/>
          <w:kern w:val="0"/>
          <w:sz w:val="24"/>
          <w:szCs w:val="24"/>
        </w:rPr>
      </w:pPr>
      <w:r w:rsidRPr="00EF599E">
        <w:rPr>
          <w:rFonts w:ascii="宋体" w:eastAsia="宋体" w:hAnsi="宋体" w:cs="宋体"/>
          <w:noProof/>
          <w:color w:val="0000FF"/>
          <w:kern w:val="0"/>
          <w:sz w:val="24"/>
          <w:szCs w:val="24"/>
        </w:rPr>
        <w:lastRenderedPageBreak/>
        <w:drawing>
          <wp:inline distT="0" distB="0" distL="0" distR="0">
            <wp:extent cx="4550309" cy="60664725"/>
            <wp:effectExtent l="0" t="0" r="3175" b="0"/>
            <wp:docPr id="1" name="图片 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8724" cy="60776914"/>
                    </a:xfrm>
                    <a:prstGeom prst="rect">
                      <a:avLst/>
                    </a:prstGeom>
                    <a:noFill/>
                    <a:ln>
                      <a:noFill/>
                    </a:ln>
                  </pic:spPr>
                </pic:pic>
              </a:graphicData>
            </a:graphic>
          </wp:inline>
        </w:drawing>
      </w:r>
    </w:p>
    <w:p w:rsidR="00E67FA7" w:rsidRDefault="00E67FA7" w:rsidP="00EF599E">
      <w:pPr>
        <w:widowControl/>
        <w:spacing w:line="360" w:lineRule="atLeast"/>
        <w:jc w:val="left"/>
        <w:rPr>
          <w:rFonts w:ascii="宋体" w:eastAsia="宋体" w:hAnsi="宋体" w:cs="宋体"/>
          <w:color w:val="333333"/>
          <w:kern w:val="0"/>
          <w:sz w:val="24"/>
          <w:szCs w:val="24"/>
        </w:rPr>
      </w:pPr>
    </w:p>
    <w:p w:rsidR="00E67FA7" w:rsidRPr="00EF599E" w:rsidRDefault="00E67FA7" w:rsidP="00EF599E">
      <w:pPr>
        <w:widowControl/>
        <w:spacing w:line="360" w:lineRule="atLeast"/>
        <w:jc w:val="left"/>
        <w:rPr>
          <w:rFonts w:ascii="宋体" w:eastAsia="宋体" w:hAnsi="宋体" w:cs="宋体"/>
          <w:color w:val="333333"/>
          <w:kern w:val="0"/>
          <w:sz w:val="24"/>
          <w:szCs w:val="24"/>
        </w:rPr>
      </w:pPr>
      <w:r>
        <w:rPr>
          <w:noProof/>
        </w:rPr>
        <w:lastRenderedPageBreak/>
        <w:drawing>
          <wp:inline distT="0" distB="0" distL="0" distR="0">
            <wp:extent cx="4606774" cy="6142672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2198" cy="61499043"/>
                    </a:xfrm>
                    <a:prstGeom prst="rect">
                      <a:avLst/>
                    </a:prstGeom>
                    <a:noFill/>
                    <a:ln>
                      <a:noFill/>
                    </a:ln>
                  </pic:spPr>
                </pic:pic>
              </a:graphicData>
            </a:graphic>
          </wp:inline>
        </w:drawing>
      </w:r>
    </w:p>
    <w:p w:rsidR="00A27826" w:rsidRPr="00EF599E" w:rsidRDefault="00A27826"/>
    <w:sectPr w:rsidR="00A27826" w:rsidRPr="00EF599E" w:rsidSect="0093478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F6C" w:rsidRDefault="00B61F6C" w:rsidP="00600632">
      <w:r>
        <w:separator/>
      </w:r>
    </w:p>
  </w:endnote>
  <w:endnote w:type="continuationSeparator" w:id="1">
    <w:p w:rsidR="00B61F6C" w:rsidRDefault="00B61F6C" w:rsidP="00600632">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F6C" w:rsidRDefault="00B61F6C" w:rsidP="00600632">
      <w:r>
        <w:separator/>
      </w:r>
    </w:p>
  </w:footnote>
  <w:footnote w:type="continuationSeparator" w:id="1">
    <w:p w:rsidR="00B61F6C" w:rsidRDefault="00B61F6C" w:rsidP="006006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5DD3"/>
    <w:rsid w:val="00600632"/>
    <w:rsid w:val="0093478E"/>
    <w:rsid w:val="00A27826"/>
    <w:rsid w:val="00AE5DD3"/>
    <w:rsid w:val="00B61F6C"/>
    <w:rsid w:val="00E67FA7"/>
    <w:rsid w:val="00EF59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7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006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00632"/>
    <w:rPr>
      <w:sz w:val="18"/>
      <w:szCs w:val="18"/>
    </w:rPr>
  </w:style>
  <w:style w:type="paragraph" w:styleId="a4">
    <w:name w:val="footer"/>
    <w:basedOn w:val="a"/>
    <w:link w:val="Char0"/>
    <w:uiPriority w:val="99"/>
    <w:semiHidden/>
    <w:unhideWhenUsed/>
    <w:rsid w:val="0060063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00632"/>
    <w:rPr>
      <w:sz w:val="18"/>
      <w:szCs w:val="18"/>
    </w:rPr>
  </w:style>
  <w:style w:type="paragraph" w:styleId="a5">
    <w:name w:val="Balloon Text"/>
    <w:basedOn w:val="a"/>
    <w:link w:val="Char1"/>
    <w:uiPriority w:val="99"/>
    <w:semiHidden/>
    <w:unhideWhenUsed/>
    <w:rsid w:val="00600632"/>
    <w:rPr>
      <w:sz w:val="18"/>
      <w:szCs w:val="18"/>
    </w:rPr>
  </w:style>
  <w:style w:type="character" w:customStyle="1" w:styleId="Char1">
    <w:name w:val="批注框文本 Char"/>
    <w:basedOn w:val="a0"/>
    <w:link w:val="a5"/>
    <w:uiPriority w:val="99"/>
    <w:semiHidden/>
    <w:rsid w:val="00600632"/>
    <w:rPr>
      <w:sz w:val="18"/>
      <w:szCs w:val="18"/>
    </w:rPr>
  </w:style>
</w:styles>
</file>

<file path=word/webSettings.xml><?xml version="1.0" encoding="utf-8"?>
<w:webSettings xmlns:r="http://schemas.openxmlformats.org/officeDocument/2006/relationships" xmlns:w="http://schemas.openxmlformats.org/wordprocessingml/2006/main">
  <w:divs>
    <w:div w:id="672605582">
      <w:bodyDiv w:val="1"/>
      <w:marLeft w:val="0"/>
      <w:marRight w:val="0"/>
      <w:marTop w:val="0"/>
      <w:marBottom w:val="0"/>
      <w:divBdr>
        <w:top w:val="none" w:sz="0" w:space="0" w:color="auto"/>
        <w:left w:val="none" w:sz="0" w:space="0" w:color="auto"/>
        <w:bottom w:val="none" w:sz="0" w:space="0" w:color="auto"/>
        <w:right w:val="none" w:sz="0" w:space="0" w:color="auto"/>
      </w:divBdr>
      <w:divsChild>
        <w:div w:id="1120030404">
          <w:marLeft w:val="0"/>
          <w:marRight w:val="0"/>
          <w:marTop w:val="0"/>
          <w:marBottom w:val="450"/>
          <w:divBdr>
            <w:top w:val="none" w:sz="0" w:space="0" w:color="auto"/>
            <w:left w:val="none" w:sz="0" w:space="0" w:color="auto"/>
            <w:bottom w:val="none" w:sz="0" w:space="0" w:color="auto"/>
            <w:right w:val="none" w:sz="0" w:space="0" w:color="auto"/>
          </w:divBdr>
        </w:div>
        <w:div w:id="1507285594">
          <w:marLeft w:val="0"/>
          <w:marRight w:val="0"/>
          <w:marTop w:val="0"/>
          <w:marBottom w:val="75"/>
          <w:divBdr>
            <w:top w:val="none" w:sz="0" w:space="0" w:color="auto"/>
            <w:left w:val="none" w:sz="0" w:space="0" w:color="auto"/>
            <w:bottom w:val="single" w:sz="6" w:space="8" w:color="CCCCCC"/>
            <w:right w:val="none" w:sz="0" w:space="0" w:color="auto"/>
          </w:divBdr>
        </w:div>
        <w:div w:id="368797631">
          <w:marLeft w:val="0"/>
          <w:marRight w:val="0"/>
          <w:marTop w:val="0"/>
          <w:marBottom w:val="0"/>
          <w:divBdr>
            <w:top w:val="none" w:sz="0" w:space="0" w:color="auto"/>
            <w:left w:val="none" w:sz="0" w:space="0" w:color="auto"/>
            <w:bottom w:val="none" w:sz="0" w:space="0" w:color="auto"/>
            <w:right w:val="none" w:sz="0" w:space="0" w:color="auto"/>
          </w:divBdr>
          <w:divsChild>
            <w:div w:id="13254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du.shandong.gov.cn/picture/0/2401201702360728742.jp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383</Words>
  <Characters>2184</Characters>
  <Application>Microsoft Office Word</Application>
  <DocSecurity>0</DocSecurity>
  <Lines>18</Lines>
  <Paragraphs>5</Paragraphs>
  <ScaleCrop>false</ScaleCrop>
  <Company/>
  <LinksUpToDate>false</LinksUpToDate>
  <CharactersWithSpaces>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2024-01-22T01:23:00Z</dcterms:created>
  <dcterms:modified xsi:type="dcterms:W3CDTF">2024-01-22T02:53:00Z</dcterms:modified>
</cp:coreProperties>
</file>